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743F67" w14:textId="2541F460" w:rsidR="00722107" w:rsidRPr="00755B36" w:rsidRDefault="002365DC" w:rsidP="00722107">
      <w:pPr>
        <w:jc w:val="center"/>
        <w:rPr>
          <w:rFonts w:ascii="Arial" w:hAnsi="Arial" w:cs="Arial"/>
          <w:b/>
          <w:bCs/>
          <w:lang w:val="en-ZA"/>
        </w:rPr>
      </w:pPr>
      <w:r>
        <w:rPr>
          <w:rFonts w:ascii="Arial" w:hAnsi="Arial" w:cs="Arial"/>
          <w:b/>
          <w:bCs/>
          <w:noProof/>
          <w:lang w:val="en-ZA"/>
        </w:rPr>
        <w:drawing>
          <wp:inline distT="0" distB="0" distL="0" distR="0" wp14:anchorId="6E48DAA4" wp14:editId="7C26D04B">
            <wp:extent cx="2505075" cy="1775422"/>
            <wp:effectExtent l="0" t="0" r="0" b="0"/>
            <wp:docPr id="117613611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136111" name="Picture 1176136111"/>
                    <pic:cNvPicPr/>
                  </pic:nvPicPr>
                  <pic:blipFill>
                    <a:blip r:embed="rId6" cstate="print">
                      <a:extLst>
                        <a:ext uri="{28A0092B-C50C-407E-A947-70E740481C1C}">
                          <a14:useLocalDpi xmlns:a14="http://schemas.microsoft.com/office/drawing/2010/main" val="0"/>
                        </a:ext>
                      </a:extLst>
                    </a:blip>
                    <a:stretch>
                      <a:fillRect/>
                    </a:stretch>
                  </pic:blipFill>
                  <pic:spPr>
                    <a:xfrm>
                      <a:off x="0" y="0"/>
                      <a:ext cx="2515569" cy="1782860"/>
                    </a:xfrm>
                    <a:prstGeom prst="rect">
                      <a:avLst/>
                    </a:prstGeom>
                  </pic:spPr>
                </pic:pic>
              </a:graphicData>
            </a:graphic>
          </wp:inline>
        </w:drawing>
      </w:r>
    </w:p>
    <w:p w14:paraId="29291ECB" w14:textId="77777777" w:rsidR="00722107" w:rsidRPr="00755B36" w:rsidRDefault="00722107" w:rsidP="00722107">
      <w:pPr>
        <w:jc w:val="center"/>
        <w:rPr>
          <w:rFonts w:ascii="Arial" w:hAnsi="Arial" w:cs="Arial"/>
          <w:b/>
          <w:bCs/>
          <w:lang w:val="en-ZA"/>
        </w:rPr>
      </w:pPr>
    </w:p>
    <w:p w14:paraId="01FE2434" w14:textId="77777777" w:rsidR="00FC7D2C" w:rsidRPr="00755B36" w:rsidRDefault="00FC7D2C" w:rsidP="00FC7D2C">
      <w:pPr>
        <w:rPr>
          <w:rFonts w:ascii="Arial" w:hAnsi="Arial" w:cs="Arial"/>
          <w:lang w:val="es-AR"/>
        </w:rPr>
      </w:pPr>
    </w:p>
    <w:p w14:paraId="6C2B2C84" w14:textId="7A6CF7A5" w:rsidR="002365DC" w:rsidRDefault="002365DC" w:rsidP="002365DC">
      <w:pPr>
        <w:jc w:val="center"/>
        <w:rPr>
          <w:rFonts w:ascii="Arial" w:hAnsi="Arial" w:cs="Arial"/>
          <w:b/>
          <w:bCs/>
          <w:lang w:val="pt-BR"/>
        </w:rPr>
      </w:pPr>
      <w:r w:rsidRPr="002365DC">
        <w:rPr>
          <w:rFonts w:ascii="Arial" w:hAnsi="Arial" w:cs="Arial"/>
          <w:b/>
          <w:bCs/>
          <w:lang w:val="pt-BR"/>
        </w:rPr>
        <w:t>COMUNICADO DE PRENSA</w:t>
      </w:r>
    </w:p>
    <w:p w14:paraId="6FEB5F74" w14:textId="77777777" w:rsidR="002365DC" w:rsidRDefault="002365DC" w:rsidP="002365DC">
      <w:pPr>
        <w:jc w:val="center"/>
        <w:rPr>
          <w:rFonts w:ascii="Arial" w:hAnsi="Arial" w:cs="Arial"/>
          <w:b/>
          <w:bCs/>
          <w:lang w:val="pt-BR"/>
        </w:rPr>
      </w:pPr>
    </w:p>
    <w:p w14:paraId="0DBF85C8" w14:textId="4F57A1EA" w:rsidR="00FC7D2C" w:rsidRPr="002365DC" w:rsidRDefault="00FC7D2C" w:rsidP="002365DC">
      <w:pPr>
        <w:jc w:val="center"/>
        <w:rPr>
          <w:rFonts w:ascii="Arial" w:hAnsi="Arial" w:cs="Arial"/>
          <w:sz w:val="24"/>
          <w:szCs w:val="24"/>
          <w:lang w:val="pt-BR"/>
        </w:rPr>
      </w:pPr>
      <w:r w:rsidRPr="002365DC">
        <w:rPr>
          <w:rFonts w:ascii="Arial" w:hAnsi="Arial" w:cs="Arial"/>
          <w:b/>
          <w:bCs/>
          <w:sz w:val="24"/>
          <w:szCs w:val="24"/>
          <w:lang w:val="pt-BR"/>
        </w:rPr>
        <w:t>Día Mundial del Albatros 2025: Un llamado global para proteger a los centinelas del océano</w:t>
      </w:r>
    </w:p>
    <w:p w14:paraId="077C078E" w14:textId="77777777" w:rsidR="00FC7D2C" w:rsidRPr="002365DC" w:rsidRDefault="00FC7D2C" w:rsidP="002365DC">
      <w:pPr>
        <w:jc w:val="center"/>
        <w:rPr>
          <w:rFonts w:ascii="Arial" w:hAnsi="Arial" w:cs="Arial"/>
          <w:i/>
          <w:iCs/>
          <w:sz w:val="24"/>
          <w:szCs w:val="24"/>
          <w:lang w:val="pt-BR"/>
        </w:rPr>
      </w:pPr>
    </w:p>
    <w:p w14:paraId="3C3A780D" w14:textId="77777777" w:rsidR="00FC7D2C" w:rsidRPr="00ED7F6D" w:rsidRDefault="00FC7D2C" w:rsidP="002365DC">
      <w:pPr>
        <w:jc w:val="center"/>
        <w:rPr>
          <w:rFonts w:ascii="Arial" w:hAnsi="Arial" w:cs="Arial"/>
          <w:i/>
          <w:iCs/>
          <w:lang w:val="pt-BR"/>
        </w:rPr>
      </w:pPr>
      <w:r w:rsidRPr="00ED7F6D">
        <w:rPr>
          <w:rFonts w:ascii="Arial" w:hAnsi="Arial" w:cs="Arial"/>
          <w:i/>
          <w:iCs/>
          <w:lang w:val="pt-BR"/>
        </w:rPr>
        <w:t>Gravemente amenazados por la gripe aviar y la pesca industrial, los albatros necesitan protección en todo el mundo</w:t>
      </w:r>
    </w:p>
    <w:p w14:paraId="2A1C5DAC" w14:textId="77777777" w:rsidR="00FC7D2C" w:rsidRPr="00755B36" w:rsidRDefault="00FC7D2C" w:rsidP="00FC7D2C">
      <w:pPr>
        <w:rPr>
          <w:rFonts w:ascii="Arial" w:hAnsi="Arial" w:cs="Arial"/>
          <w:lang w:val="pt-BR"/>
        </w:rPr>
      </w:pPr>
    </w:p>
    <w:p w14:paraId="1D4245E2" w14:textId="4221DE3B" w:rsidR="00FC7D2C" w:rsidRPr="00755B36" w:rsidRDefault="00FC7D2C" w:rsidP="00FC7D2C">
      <w:pPr>
        <w:rPr>
          <w:rFonts w:ascii="Arial" w:hAnsi="Arial" w:cs="Arial"/>
          <w:lang w:val="pt-BR"/>
        </w:rPr>
      </w:pPr>
      <w:r w:rsidRPr="00755B36">
        <w:rPr>
          <w:rFonts w:ascii="Arial" w:hAnsi="Arial" w:cs="Arial"/>
          <w:lang w:val="pt-BR"/>
        </w:rPr>
        <w:t xml:space="preserve">El 19 de junio el </w:t>
      </w:r>
      <w:r w:rsidRPr="00755B36">
        <w:rPr>
          <w:rFonts w:ascii="Arial" w:hAnsi="Arial" w:cs="Arial"/>
          <w:b/>
          <w:bCs/>
          <w:lang w:val="pt-BR"/>
        </w:rPr>
        <w:t>Día Mundial del Albatros</w:t>
      </w:r>
      <w:r w:rsidRPr="00755B36">
        <w:rPr>
          <w:rFonts w:ascii="Arial" w:hAnsi="Arial" w:cs="Arial"/>
          <w:lang w:val="pt-BR"/>
        </w:rPr>
        <w:t>, será celebrado por conservacionistas y entusiastas  de la vida silvestre</w:t>
      </w:r>
      <w:r w:rsidRPr="00755B36">
        <w:rPr>
          <w:rFonts w:ascii="Arial" w:hAnsi="Arial" w:cs="Arial"/>
          <w:b/>
          <w:bCs/>
          <w:lang w:val="pt-BR"/>
        </w:rPr>
        <w:t>.</w:t>
      </w:r>
      <w:r w:rsidRPr="00755B36">
        <w:rPr>
          <w:rFonts w:ascii="Arial" w:hAnsi="Arial" w:cs="Arial"/>
          <w:lang w:val="pt-BR"/>
        </w:rPr>
        <w:t xml:space="preserve">  Esta celebración es una oportunidad para llamar la atención sobre  la crisis de conservación que enfrentan estas emblemáticas aves oceánicas. La conmemoración de este año busca visibilizar el alarmante impacto que tienen  las enfermedades y en particular la Influenza Aviar de Alta Patogenicidad (gripe aviar), sobre poblaciones vulnerables de albatros y petreles. El brote actual de gripe aviar ha provocado la muerte de centenas de miles de aves silvestres en todo el mundo, </w:t>
      </w:r>
      <w:r w:rsidR="007901A2" w:rsidRPr="00755B36">
        <w:rPr>
          <w:rFonts w:ascii="Arial" w:hAnsi="Arial" w:cs="Arial"/>
          <w:lang w:val="pt-BR"/>
        </w:rPr>
        <w:t xml:space="preserve">amenazando la supervivencia de </w:t>
      </w:r>
      <w:r w:rsidRPr="00755B36">
        <w:rPr>
          <w:rFonts w:ascii="Arial" w:hAnsi="Arial" w:cs="Arial"/>
          <w:lang w:val="pt-BR"/>
        </w:rPr>
        <w:t xml:space="preserve"> </w:t>
      </w:r>
      <w:r w:rsidR="007901A2" w:rsidRPr="00755B36">
        <w:rPr>
          <w:rFonts w:ascii="Arial" w:hAnsi="Arial" w:cs="Arial"/>
          <w:lang w:val="pt-BR"/>
        </w:rPr>
        <w:t xml:space="preserve">múltiples </w:t>
      </w:r>
      <w:r w:rsidRPr="00755B36">
        <w:rPr>
          <w:rFonts w:ascii="Arial" w:hAnsi="Arial" w:cs="Arial"/>
          <w:lang w:val="pt-BR"/>
        </w:rPr>
        <w:t xml:space="preserve">especies. Se estima que </w:t>
      </w:r>
      <w:r w:rsidR="007901A2" w:rsidRPr="00755B36">
        <w:rPr>
          <w:rFonts w:ascii="Arial" w:hAnsi="Arial" w:cs="Arial"/>
          <w:lang w:val="pt-BR"/>
        </w:rPr>
        <w:t xml:space="preserve">varias </w:t>
      </w:r>
      <w:r w:rsidRPr="00755B36">
        <w:rPr>
          <w:rFonts w:ascii="Arial" w:hAnsi="Arial" w:cs="Arial"/>
          <w:lang w:val="pt-BR"/>
        </w:rPr>
        <w:t>especies de albatros y petreles han sido afectadas por la gripe aviar a nivel global.</w:t>
      </w:r>
    </w:p>
    <w:p w14:paraId="127FC400" w14:textId="77777777" w:rsidR="00FC7D2C" w:rsidRPr="00755B36" w:rsidRDefault="00FC7D2C" w:rsidP="00FC7D2C">
      <w:pPr>
        <w:rPr>
          <w:rFonts w:ascii="Arial" w:hAnsi="Arial" w:cs="Arial"/>
          <w:lang w:val="pt-BR"/>
        </w:rPr>
      </w:pPr>
    </w:p>
    <w:p w14:paraId="4A8EDFC2" w14:textId="285752C7" w:rsidR="00FC7D2C" w:rsidRPr="00755B36" w:rsidRDefault="00FC7D2C" w:rsidP="00FC7D2C">
      <w:pPr>
        <w:rPr>
          <w:rFonts w:ascii="Arial" w:hAnsi="Arial" w:cs="Arial"/>
          <w:lang w:val="pt-BR"/>
        </w:rPr>
      </w:pPr>
      <w:r w:rsidRPr="00755B36">
        <w:rPr>
          <w:rFonts w:ascii="Arial" w:hAnsi="Arial" w:cs="Arial"/>
          <w:lang w:val="pt-BR"/>
        </w:rPr>
        <w:t>Los albatros y petreles, que son reconocidos por sus notables vuelos de larga distancia,</w:t>
      </w:r>
      <w:r w:rsidR="007901A2" w:rsidRPr="00755B36">
        <w:rPr>
          <w:rFonts w:ascii="Arial" w:hAnsi="Arial" w:cs="Arial"/>
          <w:lang w:val="pt-BR"/>
        </w:rPr>
        <w:t xml:space="preserve"> </w:t>
      </w:r>
      <w:r w:rsidRPr="00755B36">
        <w:rPr>
          <w:rFonts w:ascii="Arial" w:hAnsi="Arial" w:cs="Arial"/>
          <w:lang w:val="pt-BR"/>
        </w:rPr>
        <w:t>desempeñan un papel crucial en el mantenimiento de la salud de los ecosistemas marinos. Como predadores tope, se alimentan de peces, calamares y otros organismos marinos. Al excretar los nutrientes obtenidos de estas presas, contribuyen al reciclaje natural de nutrientes en el océano. Además, actúan como indicadores de la salud marina: una disminución en sus poblaciones suele señalar cambios en los recursos pesqueros o problemas ambientales más amplios, como el cambio climático o la contaminación. Los albatros son verdaderos centinelas de nuestros océanos: si ellos están en peligro, es señal de que todo el ecosistema marino está bajo estrés.</w:t>
      </w:r>
    </w:p>
    <w:p w14:paraId="662AF250" w14:textId="77777777" w:rsidR="00FC7D2C" w:rsidRPr="00755B36" w:rsidRDefault="00FC7D2C" w:rsidP="00FC7D2C">
      <w:pPr>
        <w:rPr>
          <w:rFonts w:ascii="Arial" w:hAnsi="Arial" w:cs="Arial"/>
          <w:lang w:val="pt-BR"/>
        </w:rPr>
      </w:pPr>
    </w:p>
    <w:p w14:paraId="189EC2ED" w14:textId="390F71DD" w:rsidR="00FC7D2C" w:rsidRPr="00755B36" w:rsidRDefault="00FC7D2C" w:rsidP="00FC7D2C">
      <w:pPr>
        <w:rPr>
          <w:rFonts w:ascii="Arial" w:hAnsi="Arial" w:cs="Arial"/>
          <w:lang w:val="pt-BR"/>
        </w:rPr>
      </w:pPr>
      <w:r w:rsidRPr="00755B36">
        <w:rPr>
          <w:rFonts w:ascii="Arial" w:hAnsi="Arial" w:cs="Arial"/>
          <w:lang w:val="pt-BR"/>
        </w:rPr>
        <w:t xml:space="preserve">Los albatros se encuentran entre los grupos de aves más amenazados del mundo: 15 de las 22 especies están actualmente clasificadas como </w:t>
      </w:r>
      <w:r w:rsidR="00F077DF" w:rsidRPr="00755B36">
        <w:rPr>
          <w:rFonts w:ascii="Arial" w:hAnsi="Arial" w:cs="Arial"/>
          <w:i/>
          <w:iCs/>
          <w:lang w:val="pt-BR"/>
        </w:rPr>
        <w:t>Criticamente</w:t>
      </w:r>
      <w:r w:rsidR="00F077DF" w:rsidRPr="00755B36">
        <w:rPr>
          <w:rFonts w:ascii="Arial" w:hAnsi="Arial" w:cs="Arial"/>
          <w:lang w:val="pt-BR"/>
        </w:rPr>
        <w:t xml:space="preserve"> </w:t>
      </w:r>
      <w:r w:rsidRPr="00755B36">
        <w:rPr>
          <w:rFonts w:ascii="Arial" w:hAnsi="Arial" w:cs="Arial"/>
          <w:i/>
          <w:iCs/>
          <w:lang w:val="pt-BR"/>
        </w:rPr>
        <w:t>Amenazadas</w:t>
      </w:r>
      <w:r w:rsidR="00F077DF" w:rsidRPr="00755B36">
        <w:rPr>
          <w:rFonts w:ascii="Arial" w:hAnsi="Arial" w:cs="Arial"/>
          <w:i/>
          <w:iCs/>
          <w:lang w:val="pt-BR"/>
        </w:rPr>
        <w:t>,</w:t>
      </w:r>
      <w:r w:rsidRPr="00755B36">
        <w:rPr>
          <w:rFonts w:ascii="Arial" w:hAnsi="Arial" w:cs="Arial"/>
          <w:lang w:val="pt-BR"/>
        </w:rPr>
        <w:t xml:space="preserve"> </w:t>
      </w:r>
      <w:r w:rsidRPr="00755B36">
        <w:rPr>
          <w:rFonts w:ascii="Arial" w:hAnsi="Arial" w:cs="Arial"/>
          <w:i/>
          <w:iCs/>
          <w:lang w:val="pt-BR"/>
        </w:rPr>
        <w:t>En peligro</w:t>
      </w:r>
      <w:r w:rsidR="00F077DF" w:rsidRPr="00755B36">
        <w:rPr>
          <w:rFonts w:ascii="Arial" w:hAnsi="Arial" w:cs="Arial"/>
          <w:i/>
          <w:iCs/>
          <w:lang w:val="pt-BR"/>
        </w:rPr>
        <w:t xml:space="preserve"> o Vulnerables</w:t>
      </w:r>
      <w:r w:rsidRPr="00755B36">
        <w:rPr>
          <w:rFonts w:ascii="Arial" w:hAnsi="Arial" w:cs="Arial"/>
          <w:i/>
          <w:iCs/>
          <w:lang w:val="pt-BR"/>
        </w:rPr>
        <w:t xml:space="preserve"> </w:t>
      </w:r>
      <w:r w:rsidRPr="00755B36">
        <w:rPr>
          <w:rFonts w:ascii="Arial" w:hAnsi="Arial" w:cs="Arial"/>
          <w:lang w:val="pt-BR"/>
        </w:rPr>
        <w:t xml:space="preserve">según la Lista Roja de la Unión Internacional para la Conservación de la Naturaleza (UICN). “Los albatros enfrentan amenazas importantes como la captura incidental en pesquerías industriales, especies invasoras en sus </w:t>
      </w:r>
      <w:r w:rsidR="007901A2" w:rsidRPr="00755B36">
        <w:rPr>
          <w:rFonts w:ascii="Arial" w:hAnsi="Arial" w:cs="Arial"/>
          <w:lang w:val="pt-BR"/>
        </w:rPr>
        <w:t xml:space="preserve">áreas </w:t>
      </w:r>
      <w:r w:rsidRPr="00755B36">
        <w:rPr>
          <w:rFonts w:ascii="Arial" w:hAnsi="Arial" w:cs="Arial"/>
          <w:lang w:val="pt-BR"/>
        </w:rPr>
        <w:t xml:space="preserve">de reproducción, la contaminación química y por plásticos, además del cambio climático”, explica la Dra. Laura Roberts, veterinaria del </w:t>
      </w:r>
      <w:r w:rsidR="00DA6E8D" w:rsidRPr="00755B36">
        <w:rPr>
          <w:rFonts w:ascii="Arial" w:hAnsi="Arial" w:cs="Arial"/>
          <w:lang w:val="pt-BR"/>
        </w:rPr>
        <w:t>Departamento de Agricultura de la Provincia del Cabo Occidental, Sudáfrica</w:t>
      </w:r>
      <w:r w:rsidRPr="00755B36">
        <w:rPr>
          <w:rFonts w:ascii="Arial" w:hAnsi="Arial" w:cs="Arial"/>
          <w:lang w:val="pt-BR"/>
        </w:rPr>
        <w:t>.</w:t>
      </w:r>
    </w:p>
    <w:p w14:paraId="1DA8CC1A" w14:textId="77777777" w:rsidR="00FC7D2C" w:rsidRPr="00755B36" w:rsidRDefault="00FC7D2C" w:rsidP="00FC7D2C">
      <w:pPr>
        <w:rPr>
          <w:rFonts w:ascii="Arial" w:hAnsi="Arial" w:cs="Arial"/>
          <w:lang w:val="pt-BR"/>
        </w:rPr>
      </w:pPr>
    </w:p>
    <w:p w14:paraId="6FAAB84A" w14:textId="208FEF66" w:rsidR="00FC7D2C" w:rsidRPr="00755B36" w:rsidRDefault="00FC7D2C" w:rsidP="00FC7D2C">
      <w:pPr>
        <w:rPr>
          <w:rFonts w:ascii="Arial" w:hAnsi="Arial" w:cs="Arial"/>
          <w:lang w:val="pt-BR"/>
        </w:rPr>
      </w:pPr>
      <w:r w:rsidRPr="00755B36">
        <w:rPr>
          <w:rFonts w:ascii="Arial" w:hAnsi="Arial" w:cs="Arial"/>
          <w:lang w:val="pt-BR"/>
        </w:rPr>
        <w:t>Actualmente, con el brote global de gripe aviar, estas majestuosas aves enfrentan una convergencia de amenazas sin precedentes que está llevando a muchas especies aún más cerca de la extinción. “Estamos viendo una tormenta perfecta de amenazas”, afirma la Dra. Marcela Uhart, experta en salud de fauna silvestre de la Universidad de California, Davis</w:t>
      </w:r>
      <w:r w:rsidR="00F077DF" w:rsidRPr="00755B36">
        <w:rPr>
          <w:rFonts w:ascii="Arial" w:hAnsi="Arial" w:cs="Arial"/>
          <w:lang w:val="pt-BR"/>
        </w:rPr>
        <w:t xml:space="preserve">, </w:t>
      </w:r>
      <w:r w:rsidR="00F077DF" w:rsidRPr="00755B36">
        <w:rPr>
          <w:rFonts w:ascii="Arial" w:hAnsi="Arial" w:cs="Arial"/>
          <w:lang w:val="pt-BR"/>
        </w:rPr>
        <w:lastRenderedPageBreak/>
        <w:t>USA</w:t>
      </w:r>
      <w:r w:rsidRPr="00755B36">
        <w:rPr>
          <w:rFonts w:ascii="Arial" w:hAnsi="Arial" w:cs="Arial"/>
          <w:lang w:val="pt-BR"/>
        </w:rPr>
        <w:t>. “La necesidad de una acción de conservación global, coordinada y basada en la ciencia nunca ha sido</w:t>
      </w:r>
      <w:r w:rsidR="007901A2" w:rsidRPr="00755B36">
        <w:rPr>
          <w:rFonts w:ascii="Arial" w:hAnsi="Arial" w:cs="Arial"/>
          <w:lang w:val="pt-BR"/>
        </w:rPr>
        <w:t xml:space="preserve"> más</w:t>
      </w:r>
      <w:r w:rsidRPr="00755B36">
        <w:rPr>
          <w:rFonts w:ascii="Arial" w:hAnsi="Arial" w:cs="Arial"/>
          <w:lang w:val="pt-BR"/>
        </w:rPr>
        <w:t xml:space="preserve"> urgente.”</w:t>
      </w:r>
    </w:p>
    <w:p w14:paraId="036CED97" w14:textId="77777777" w:rsidR="00FC7D2C" w:rsidRPr="00755B36" w:rsidRDefault="00FC7D2C" w:rsidP="00FC7D2C">
      <w:pPr>
        <w:rPr>
          <w:rFonts w:ascii="Arial" w:hAnsi="Arial" w:cs="Arial"/>
          <w:lang w:val="pt-BR"/>
        </w:rPr>
      </w:pPr>
    </w:p>
    <w:p w14:paraId="04E37354" w14:textId="221E1354" w:rsidR="00FC7D2C" w:rsidRPr="00755B36" w:rsidRDefault="00FC7D2C" w:rsidP="00FC7D2C">
      <w:pPr>
        <w:rPr>
          <w:rFonts w:ascii="Arial" w:hAnsi="Arial" w:cs="Arial"/>
          <w:lang w:val="pt-BR"/>
        </w:rPr>
      </w:pPr>
      <w:r w:rsidRPr="00755B36">
        <w:rPr>
          <w:rFonts w:ascii="Arial" w:hAnsi="Arial" w:cs="Arial"/>
          <w:lang w:val="pt-BR"/>
        </w:rPr>
        <w:t>Se han confirmado brotes recientes de gripe aviar en diversas especies de aves marinas, incluidos los albatros, en ambos hemisferios. Se estima que más de 10.000 pichones y miles de albatros adultos de ceja negra (</w:t>
      </w:r>
      <w:r w:rsidRPr="00755B36">
        <w:rPr>
          <w:rFonts w:ascii="Arial" w:hAnsi="Arial" w:cs="Arial"/>
          <w:i/>
          <w:iCs/>
          <w:lang w:val="pt-BR"/>
        </w:rPr>
        <w:t>Thalassarche melanophris</w:t>
      </w:r>
      <w:r w:rsidRPr="00755B36">
        <w:rPr>
          <w:rFonts w:ascii="Arial" w:hAnsi="Arial" w:cs="Arial"/>
          <w:lang w:val="pt-BR"/>
        </w:rPr>
        <w:t>) murieron en 2023/2024 debido a un brote en las Islas Malvinas (Falkland Islands)</w:t>
      </w:r>
      <w:r w:rsidR="00D53D91" w:rsidRPr="00755B36">
        <w:rPr>
          <w:rFonts w:ascii="Arial" w:hAnsi="Arial" w:cs="Arial"/>
          <w:lang w:val="pt-BR"/>
        </w:rPr>
        <w:t>*</w:t>
      </w:r>
      <w:r w:rsidRPr="00755B36">
        <w:rPr>
          <w:rFonts w:ascii="Arial" w:hAnsi="Arial" w:cs="Arial"/>
          <w:lang w:val="pt-BR"/>
        </w:rPr>
        <w:t>. La enfermedad se ha extendido incluso a la región subantártica, afectando colonias del albatros errante (</w:t>
      </w:r>
      <w:r w:rsidRPr="00755B36">
        <w:rPr>
          <w:rFonts w:ascii="Arial" w:hAnsi="Arial" w:cs="Arial"/>
          <w:i/>
          <w:iCs/>
          <w:lang w:val="pt-BR"/>
        </w:rPr>
        <w:t>Diomedea exulans</w:t>
      </w:r>
      <w:r w:rsidRPr="00755B36">
        <w:rPr>
          <w:rFonts w:ascii="Arial" w:hAnsi="Arial" w:cs="Arial"/>
          <w:lang w:val="pt-BR"/>
        </w:rPr>
        <w:t xml:space="preserve">) en las islas </w:t>
      </w:r>
      <w:r w:rsidR="00F077DF" w:rsidRPr="00755B36">
        <w:rPr>
          <w:rFonts w:ascii="Arial" w:hAnsi="Arial" w:cs="Arial"/>
          <w:lang w:val="pt-BR"/>
        </w:rPr>
        <w:t>Georgias del Sur*, Marion, Crozet y Kerguelen</w:t>
      </w:r>
      <w:r w:rsidRPr="00755B36">
        <w:rPr>
          <w:rFonts w:ascii="Arial" w:hAnsi="Arial" w:cs="Arial"/>
          <w:lang w:val="pt-BR"/>
        </w:rPr>
        <w:t>, en el Océano Sur. También se han registrado casos aislados de gripe aviar en Procellariiformes (el orden que incluye a los albatros y petreles) en Europa, África y las Américas.</w:t>
      </w:r>
    </w:p>
    <w:p w14:paraId="24CC1D35" w14:textId="77777777" w:rsidR="00FC7D2C" w:rsidRPr="00755B36" w:rsidRDefault="00FC7D2C" w:rsidP="00FC7D2C">
      <w:pPr>
        <w:rPr>
          <w:rFonts w:ascii="Arial" w:hAnsi="Arial" w:cs="Arial"/>
          <w:lang w:val="pt-BR"/>
        </w:rPr>
      </w:pPr>
    </w:p>
    <w:p w14:paraId="45893CDD" w14:textId="659D69F9" w:rsidR="00FC7D2C" w:rsidRPr="00755B36" w:rsidRDefault="00FC7D2C" w:rsidP="00FC7D2C">
      <w:pPr>
        <w:rPr>
          <w:rFonts w:ascii="Arial" w:hAnsi="Arial" w:cs="Arial"/>
          <w:lang w:val="pt-BR"/>
        </w:rPr>
      </w:pPr>
      <w:r w:rsidRPr="00755B36">
        <w:rPr>
          <w:rFonts w:ascii="Arial" w:hAnsi="Arial" w:cs="Arial"/>
          <w:lang w:val="pt-BR"/>
        </w:rPr>
        <w:t>Incluso antes de la aparición de la gripe aviar, otras enfermedades infecciosas ya estaban afectando a las aves marinas en todo el mundo. “Los albatros de nariz amarilla del Índico en la Isla Ámsterdam han enfrentado brotes recurrentes de cólera aviar, una enfermedad bacteriana, desde mediados de los años 80”, comenta la Dra. Amandine Gamble, ecóloga de enfermedades infecciosas en la Universidad de Cornell</w:t>
      </w:r>
      <w:r w:rsidR="00244B6B" w:rsidRPr="00755B36">
        <w:rPr>
          <w:rFonts w:ascii="Arial" w:hAnsi="Arial" w:cs="Arial"/>
          <w:lang w:val="es-AR"/>
        </w:rPr>
        <w:t>, New York, USA</w:t>
      </w:r>
      <w:r w:rsidRPr="00755B36">
        <w:rPr>
          <w:rFonts w:ascii="Arial" w:hAnsi="Arial" w:cs="Arial"/>
          <w:lang w:val="pt-BR"/>
        </w:rPr>
        <w:t>. “La gripe aviar representa una amenaza adicional para estas poblaciones ya debilitadas”, añade. Otras enfermedades infecciosas que afectan a los albatros y petreles incluyen, por ejemplo, a los poxvirus. </w:t>
      </w:r>
    </w:p>
    <w:p w14:paraId="3CF0D67B" w14:textId="77777777" w:rsidR="00FC7D2C" w:rsidRPr="00755B36" w:rsidRDefault="00FC7D2C" w:rsidP="00FC7D2C">
      <w:pPr>
        <w:rPr>
          <w:rFonts w:ascii="Arial" w:hAnsi="Arial" w:cs="Arial"/>
          <w:lang w:val="pt-BR"/>
        </w:rPr>
      </w:pPr>
    </w:p>
    <w:p w14:paraId="7E61119C" w14:textId="77777777" w:rsidR="00FC7D2C" w:rsidRPr="00755B36" w:rsidRDefault="00FC7D2C" w:rsidP="00FC7D2C">
      <w:pPr>
        <w:rPr>
          <w:rFonts w:ascii="Arial" w:hAnsi="Arial" w:cs="Arial"/>
          <w:lang w:val="pt-BR"/>
        </w:rPr>
      </w:pPr>
      <w:r w:rsidRPr="00755B36">
        <w:rPr>
          <w:rFonts w:ascii="Arial" w:hAnsi="Arial" w:cs="Arial"/>
          <w:lang w:val="pt-BR"/>
        </w:rPr>
        <w:t>Los albatros y petreles, muchos de los cuales se reproducen en colonias con alta densidad de individuos, son particularmente vulnerables a los patógenos. “Una vez que la gripe aviar llega a una colonia de aves marinas, nuestra capacidad para reducir la mortalidad es extremadamente limitada”, advierte Patricia Serafini, analista ambiental del Centro Nacional de Pesquisa y Conservación de Aves Silvestres (CEMAVE) en Brasil y co-coordinadora del Grupo de Trabajo sobre Poblaciones y Estado de Conservación del ACAP. “Debemos hacer todo lo posible para prevenir su propagación, al tiempo que abordamos otras amenazas de conservación para las que ya existen medidas de mitigación disponibles.”</w:t>
      </w:r>
    </w:p>
    <w:p w14:paraId="6CED8135" w14:textId="77777777" w:rsidR="00FC7D2C" w:rsidRPr="00755B36" w:rsidRDefault="00FC7D2C" w:rsidP="00FC7D2C">
      <w:pPr>
        <w:rPr>
          <w:rFonts w:ascii="Arial" w:hAnsi="Arial" w:cs="Arial"/>
          <w:lang w:val="pt-BR"/>
        </w:rPr>
      </w:pPr>
    </w:p>
    <w:p w14:paraId="6E82D20D" w14:textId="4CDFD3CD" w:rsidR="00FC7D2C" w:rsidRPr="00755B36" w:rsidRDefault="00FC7D2C" w:rsidP="00FC7D2C">
      <w:pPr>
        <w:rPr>
          <w:rFonts w:ascii="Arial" w:hAnsi="Arial" w:cs="Arial"/>
          <w:lang w:val="pt-BR"/>
        </w:rPr>
      </w:pPr>
      <w:r w:rsidRPr="00755B36">
        <w:rPr>
          <w:rFonts w:ascii="Arial" w:hAnsi="Arial" w:cs="Arial"/>
          <w:lang w:val="pt-BR"/>
        </w:rPr>
        <w:t xml:space="preserve">“Los consumidores también pueden </w:t>
      </w:r>
      <w:r w:rsidR="00D819D1" w:rsidRPr="00755B36">
        <w:rPr>
          <w:rFonts w:ascii="Arial" w:hAnsi="Arial" w:cs="Arial"/>
          <w:lang w:val="pt-BR"/>
        </w:rPr>
        <w:t xml:space="preserve">jugar </w:t>
      </w:r>
      <w:r w:rsidRPr="00755B36">
        <w:rPr>
          <w:rFonts w:ascii="Arial" w:hAnsi="Arial" w:cs="Arial"/>
          <w:lang w:val="pt-BR"/>
        </w:rPr>
        <w:t>un papel importante en la conservación de los albatros”, señala Serafini. “Al elegir productos de pesquerías que utilizan medidas de mitigación para evitar la mortalidad por captura incidental, las personas pueden ayudar a reducir una de sus principales amenazas. Apoyar las prácticas pesqueras seguras para las aves marinas es un paso vital para proteger a estos viajeros oceánicos. También se puede ayudar previniendo la propagación de la gripe aviary otras enfermedades al respetar los avisos y restricciones al viajar a zonas afectadas y reportar aves muertas a las autoridades locales de vida silvestre o salud”.</w:t>
      </w:r>
    </w:p>
    <w:p w14:paraId="2BC12A0B" w14:textId="77777777" w:rsidR="00FC7D2C" w:rsidRPr="00755B36" w:rsidRDefault="00FC7D2C" w:rsidP="00FC7D2C">
      <w:pPr>
        <w:rPr>
          <w:rFonts w:ascii="Arial" w:hAnsi="Arial" w:cs="Arial"/>
          <w:lang w:val="pt-BR"/>
        </w:rPr>
      </w:pPr>
    </w:p>
    <w:p w14:paraId="2C76C270" w14:textId="77777777" w:rsidR="00FC7D2C" w:rsidRPr="00755B36" w:rsidRDefault="00FC7D2C" w:rsidP="00FC7D2C">
      <w:pPr>
        <w:rPr>
          <w:rFonts w:ascii="Arial" w:hAnsi="Arial" w:cs="Arial"/>
          <w:lang w:val="pt-BR"/>
        </w:rPr>
      </w:pPr>
      <w:r w:rsidRPr="00755B36">
        <w:rPr>
          <w:rFonts w:ascii="Arial" w:hAnsi="Arial" w:cs="Arial"/>
          <w:lang w:val="pt-BR"/>
        </w:rPr>
        <w:t>El Día Mundial del Albatros nos recuerda las múltiples y entrelazadas amenazas que enfrenta la vida marina. “Proteger a los albatros y petreles no es  sólo salvar aves hermosas, sino que es además proteger el equilibrio natural  de los océanos que habitan”, afirma Patricia Serafini.</w:t>
      </w:r>
    </w:p>
    <w:p w14:paraId="630DFF61" w14:textId="77777777" w:rsidR="00FC7D2C" w:rsidRPr="00755B36" w:rsidRDefault="00FC7D2C" w:rsidP="00FC7D2C">
      <w:pPr>
        <w:rPr>
          <w:rFonts w:ascii="Arial" w:hAnsi="Arial" w:cs="Arial"/>
          <w:lang w:val="pt-BR"/>
        </w:rPr>
      </w:pPr>
    </w:p>
    <w:p w14:paraId="2B0B0B06" w14:textId="77777777" w:rsidR="00FC7D2C" w:rsidRPr="00755B36" w:rsidRDefault="00FC7D2C" w:rsidP="00FC7D2C">
      <w:pPr>
        <w:rPr>
          <w:rFonts w:ascii="Arial" w:hAnsi="Arial" w:cs="Arial"/>
          <w:lang w:val="pt-BR"/>
        </w:rPr>
      </w:pPr>
      <w:r w:rsidRPr="00755B36">
        <w:rPr>
          <w:rFonts w:ascii="Arial" w:hAnsi="Arial" w:cs="Arial"/>
          <w:lang w:val="pt-BR"/>
        </w:rPr>
        <w:t>Acompáñanos este 19 de junio para celebrar el Día Mundial del Albatros y abogar por la protección de estos extraordinarios centinelas del mar. Para más información sobre cómo participar y apoyar los esfuerzos de conservación, visita: https://www.acap.aq/</w:t>
      </w:r>
    </w:p>
    <w:p w14:paraId="61B2B666" w14:textId="77777777" w:rsidR="00FC7D2C" w:rsidRPr="00755B36" w:rsidRDefault="00FC7D2C" w:rsidP="00FC7D2C">
      <w:pPr>
        <w:rPr>
          <w:rFonts w:ascii="Arial" w:hAnsi="Arial" w:cs="Arial"/>
          <w:lang w:val="pt-BR"/>
        </w:rPr>
      </w:pPr>
    </w:p>
    <w:p w14:paraId="0093B143" w14:textId="54D94556" w:rsidR="00616358" w:rsidRPr="00755B36" w:rsidRDefault="00616358" w:rsidP="00616358">
      <w:pPr>
        <w:rPr>
          <w:rFonts w:ascii="Arial" w:hAnsi="Arial" w:cs="Arial"/>
          <w:i/>
          <w:iCs/>
          <w:lang w:val="pt-BR"/>
        </w:rPr>
      </w:pPr>
      <w:r w:rsidRPr="00755B36">
        <w:rPr>
          <w:rFonts w:ascii="Arial" w:hAnsi="Arial" w:cs="Arial"/>
          <w:i/>
          <w:iCs/>
          <w:lang w:val="pt-BR"/>
        </w:rPr>
        <w:t>Emitido por el Grupo Intersesional del ACAP sobre Influenza Aviar y Enfermedades, en nombre de la Secretaría del ACAP</w:t>
      </w:r>
      <w:r w:rsidR="007962CC">
        <w:rPr>
          <w:rFonts w:ascii="Arial" w:hAnsi="Arial" w:cs="Arial"/>
          <w:i/>
          <w:iCs/>
          <w:lang w:val="pt-BR"/>
        </w:rPr>
        <w:t>, 16</w:t>
      </w:r>
      <w:r w:rsidR="007962CC" w:rsidRPr="007962CC">
        <w:rPr>
          <w:rFonts w:ascii="Arial" w:hAnsi="Arial" w:cs="Arial"/>
          <w:i/>
          <w:iCs/>
          <w:lang w:val="pt-BR"/>
        </w:rPr>
        <w:t xml:space="preserve"> de junio de 202</w:t>
      </w:r>
      <w:r w:rsidR="007962CC">
        <w:rPr>
          <w:rFonts w:ascii="Arial" w:hAnsi="Arial" w:cs="Arial"/>
          <w:i/>
          <w:iCs/>
          <w:lang w:val="pt-BR"/>
        </w:rPr>
        <w:t>5</w:t>
      </w:r>
      <w:r w:rsidRPr="00755B36">
        <w:rPr>
          <w:rFonts w:ascii="Arial" w:hAnsi="Arial" w:cs="Arial"/>
          <w:i/>
          <w:iCs/>
          <w:lang w:val="pt-BR"/>
        </w:rPr>
        <w:t>.</w:t>
      </w:r>
    </w:p>
    <w:p w14:paraId="3D040AE4" w14:textId="77777777" w:rsidR="00616358" w:rsidRDefault="00616358" w:rsidP="00616358">
      <w:pPr>
        <w:rPr>
          <w:rFonts w:ascii="Arial" w:hAnsi="Arial" w:cs="Arial"/>
          <w:i/>
          <w:iCs/>
          <w:lang w:val="pt-BR"/>
        </w:rPr>
      </w:pPr>
    </w:p>
    <w:p w14:paraId="256E96B6" w14:textId="77777777" w:rsidR="005A552E" w:rsidRDefault="005A552E" w:rsidP="005A552E">
      <w:pPr>
        <w:rPr>
          <w:rFonts w:ascii="Arial" w:hAnsi="Arial" w:cs="Arial"/>
          <w:sz w:val="20"/>
          <w:szCs w:val="20"/>
          <w:lang w:val="es-ES"/>
        </w:rPr>
      </w:pPr>
      <w:r w:rsidRPr="002365DC">
        <w:rPr>
          <w:rFonts w:ascii="Arial" w:hAnsi="Arial" w:cs="Arial"/>
          <w:lang w:val="es-ES"/>
        </w:rPr>
        <w:t xml:space="preserve">* </w:t>
      </w:r>
      <w:r w:rsidRPr="002365DC">
        <w:rPr>
          <w:rFonts w:ascii="Arial" w:hAnsi="Arial" w:cs="Arial"/>
          <w:sz w:val="20"/>
          <w:szCs w:val="20"/>
          <w:lang w:val="es-ES"/>
        </w:rPr>
        <w:t>E</w:t>
      </w:r>
      <w:r w:rsidRPr="00755B36">
        <w:rPr>
          <w:rFonts w:ascii="Arial" w:hAnsi="Arial" w:cs="Arial"/>
          <w:sz w:val="20"/>
          <w:szCs w:val="20"/>
          <w:lang w:val="es-ES"/>
        </w:rPr>
        <w:t xml:space="preserve">xiste una disputa entre el Gobierno de la República Argentina y el Gobierno del Reino Unido de Gran Bretaña e Irlanda del Norte </w:t>
      </w:r>
      <w:proofErr w:type="gramStart"/>
      <w:r w:rsidRPr="00755B36">
        <w:rPr>
          <w:rFonts w:ascii="Arial" w:hAnsi="Arial" w:cs="Arial"/>
          <w:sz w:val="20"/>
          <w:szCs w:val="20"/>
          <w:lang w:val="es-ES"/>
        </w:rPr>
        <w:t>en relación a</w:t>
      </w:r>
      <w:proofErr w:type="gramEnd"/>
      <w:r w:rsidRPr="00755B36">
        <w:rPr>
          <w:rFonts w:ascii="Arial" w:hAnsi="Arial" w:cs="Arial"/>
          <w:sz w:val="20"/>
          <w:szCs w:val="20"/>
          <w:lang w:val="es-ES"/>
        </w:rPr>
        <w:t xml:space="preserve"> la soberanía de las Islas Malvinas (</w:t>
      </w:r>
      <w:proofErr w:type="spellStart"/>
      <w:r w:rsidRPr="00755B36">
        <w:rPr>
          <w:rFonts w:ascii="Arial" w:hAnsi="Arial" w:cs="Arial"/>
          <w:sz w:val="20"/>
          <w:szCs w:val="20"/>
          <w:lang w:val="es-ES"/>
        </w:rPr>
        <w:t>Falkland</w:t>
      </w:r>
      <w:proofErr w:type="spellEnd"/>
      <w:r w:rsidRPr="00755B36">
        <w:rPr>
          <w:rFonts w:ascii="Arial" w:hAnsi="Arial" w:cs="Arial"/>
          <w:sz w:val="20"/>
          <w:szCs w:val="20"/>
          <w:lang w:val="es-ES"/>
        </w:rPr>
        <w:t xml:space="preserve"> </w:t>
      </w:r>
      <w:proofErr w:type="spellStart"/>
      <w:r w:rsidRPr="00755B36">
        <w:rPr>
          <w:rFonts w:ascii="Arial" w:hAnsi="Arial" w:cs="Arial"/>
          <w:sz w:val="20"/>
          <w:szCs w:val="20"/>
          <w:lang w:val="es-ES"/>
        </w:rPr>
        <w:t>Islands</w:t>
      </w:r>
      <w:proofErr w:type="spellEnd"/>
      <w:r w:rsidRPr="00755B36">
        <w:rPr>
          <w:rFonts w:ascii="Arial" w:hAnsi="Arial" w:cs="Arial"/>
          <w:sz w:val="20"/>
          <w:szCs w:val="20"/>
          <w:lang w:val="es-ES"/>
        </w:rPr>
        <w:t xml:space="preserve">), Islas Georgias del Sur e islas Sándwich del Sur (South Georgia and </w:t>
      </w:r>
      <w:proofErr w:type="spellStart"/>
      <w:r w:rsidRPr="00755B36">
        <w:rPr>
          <w:rFonts w:ascii="Arial" w:hAnsi="Arial" w:cs="Arial"/>
          <w:sz w:val="20"/>
          <w:szCs w:val="20"/>
          <w:lang w:val="es-ES"/>
        </w:rPr>
        <w:t>the</w:t>
      </w:r>
      <w:proofErr w:type="spellEnd"/>
      <w:r w:rsidRPr="00755B36">
        <w:rPr>
          <w:rFonts w:ascii="Arial" w:hAnsi="Arial" w:cs="Arial"/>
          <w:sz w:val="20"/>
          <w:szCs w:val="20"/>
          <w:lang w:val="es-ES"/>
        </w:rPr>
        <w:t xml:space="preserve"> South </w:t>
      </w:r>
      <w:proofErr w:type="spellStart"/>
      <w:r w:rsidRPr="00755B36">
        <w:rPr>
          <w:rFonts w:ascii="Arial" w:hAnsi="Arial" w:cs="Arial"/>
          <w:sz w:val="20"/>
          <w:szCs w:val="20"/>
          <w:lang w:val="es-ES"/>
        </w:rPr>
        <w:t>Sandwich</w:t>
      </w:r>
      <w:proofErr w:type="spellEnd"/>
      <w:r w:rsidRPr="00755B36">
        <w:rPr>
          <w:rFonts w:ascii="Arial" w:hAnsi="Arial" w:cs="Arial"/>
          <w:sz w:val="20"/>
          <w:szCs w:val="20"/>
          <w:lang w:val="es-ES"/>
        </w:rPr>
        <w:t xml:space="preserve"> </w:t>
      </w:r>
      <w:proofErr w:type="spellStart"/>
      <w:r w:rsidRPr="00755B36">
        <w:rPr>
          <w:rFonts w:ascii="Arial" w:hAnsi="Arial" w:cs="Arial"/>
          <w:sz w:val="20"/>
          <w:szCs w:val="20"/>
          <w:lang w:val="es-ES"/>
        </w:rPr>
        <w:t>Islands</w:t>
      </w:r>
      <w:proofErr w:type="spellEnd"/>
      <w:r w:rsidRPr="00755B36">
        <w:rPr>
          <w:rFonts w:ascii="Arial" w:hAnsi="Arial" w:cs="Arial"/>
          <w:sz w:val="20"/>
          <w:szCs w:val="20"/>
          <w:lang w:val="es-ES"/>
        </w:rPr>
        <w:t>) y áreas marítimas circundantes.</w:t>
      </w:r>
    </w:p>
    <w:p w14:paraId="33CCC9E7" w14:textId="77777777" w:rsidR="002365DC" w:rsidRDefault="002365DC" w:rsidP="005A552E">
      <w:pPr>
        <w:rPr>
          <w:rFonts w:ascii="Arial" w:hAnsi="Arial" w:cs="Arial"/>
          <w:sz w:val="20"/>
          <w:szCs w:val="20"/>
          <w:lang w:val="es-ES"/>
        </w:rPr>
      </w:pPr>
    </w:p>
    <w:p w14:paraId="58E51FCC" w14:textId="79920FF6" w:rsidR="002365DC" w:rsidRDefault="002365DC" w:rsidP="002365DC">
      <w:pPr>
        <w:jc w:val="center"/>
        <w:rPr>
          <w:rFonts w:ascii="Arial" w:hAnsi="Arial" w:cs="Arial"/>
          <w:sz w:val="20"/>
          <w:szCs w:val="20"/>
          <w:lang w:val="es-ES"/>
        </w:rPr>
      </w:pPr>
      <w:r>
        <w:rPr>
          <w:rFonts w:ascii="Arial" w:hAnsi="Arial" w:cs="Arial"/>
          <w:sz w:val="20"/>
          <w:szCs w:val="20"/>
          <w:lang w:val="es-ES"/>
        </w:rPr>
        <w:t>*****</w:t>
      </w:r>
    </w:p>
    <w:p w14:paraId="1B5AE7C8" w14:textId="77777777" w:rsidR="002365DC" w:rsidRDefault="002365DC" w:rsidP="005A552E">
      <w:pPr>
        <w:rPr>
          <w:rFonts w:ascii="Arial" w:hAnsi="Arial" w:cs="Arial"/>
          <w:sz w:val="20"/>
          <w:szCs w:val="20"/>
          <w:lang w:val="es-ES"/>
        </w:rPr>
      </w:pPr>
    </w:p>
    <w:p w14:paraId="40D83791" w14:textId="77777777" w:rsidR="002365DC" w:rsidRPr="00755B36" w:rsidRDefault="002365DC" w:rsidP="002365DC">
      <w:pPr>
        <w:rPr>
          <w:rFonts w:ascii="Arial" w:hAnsi="Arial" w:cs="Arial"/>
          <w:b/>
          <w:bCs/>
          <w:lang w:val="pt-BR"/>
        </w:rPr>
      </w:pPr>
      <w:r w:rsidRPr="00755B36">
        <w:rPr>
          <w:rFonts w:ascii="Arial" w:hAnsi="Arial" w:cs="Arial"/>
          <w:b/>
          <w:bCs/>
          <w:lang w:val="pt-BR"/>
        </w:rPr>
        <w:t>Acerca del ACAP</w:t>
      </w:r>
    </w:p>
    <w:p w14:paraId="41D87FB5" w14:textId="77777777" w:rsidR="002365DC" w:rsidRPr="00755B36" w:rsidRDefault="002365DC" w:rsidP="002365DC">
      <w:pPr>
        <w:rPr>
          <w:rFonts w:ascii="Arial" w:hAnsi="Arial" w:cs="Arial"/>
          <w:lang w:val="pt-BR"/>
        </w:rPr>
      </w:pPr>
      <w:r w:rsidRPr="00755B36">
        <w:rPr>
          <w:rFonts w:ascii="Arial" w:hAnsi="Arial" w:cs="Arial"/>
          <w:lang w:val="pt-BR"/>
        </w:rPr>
        <w:t>El Acuerdo para la Conservación de Albatros y Petreles (ACAP) es una iniciativa intergubernamental centrada en conservar albatros y petreles mediante la coordinación de esfuerzos internacionales para abordar las amenazas a sus poblaciones. El ACAP se abrió a la firma el 19 de junio de 2001 y entró en vigor en febrero de 2004. Actualmente, el Acuerdo abarca las 22 especies de albatros y 9 especies de petreles. El ACAP cuenta con 13 Partes y su Secretaría tiene sede en Hobart, Tasmania, Australia.</w:t>
      </w:r>
    </w:p>
    <w:p w14:paraId="2580CFF8" w14:textId="77777777" w:rsidR="002365DC" w:rsidRPr="007962CC" w:rsidRDefault="002365DC" w:rsidP="002365DC">
      <w:pPr>
        <w:rPr>
          <w:rFonts w:ascii="Arial" w:hAnsi="Arial" w:cs="Arial"/>
          <w:lang w:val="es-ES"/>
        </w:rPr>
      </w:pPr>
    </w:p>
    <w:p w14:paraId="59ADD08E" w14:textId="77777777" w:rsidR="007962CC" w:rsidRPr="007962CC" w:rsidRDefault="007962CC" w:rsidP="002365DC">
      <w:pPr>
        <w:rPr>
          <w:rFonts w:ascii="Arial" w:hAnsi="Arial" w:cs="Arial"/>
          <w:b/>
          <w:bCs/>
          <w:lang w:val="es-ES"/>
        </w:rPr>
      </w:pPr>
      <w:r w:rsidRPr="007962CC">
        <w:rPr>
          <w:rFonts w:ascii="Arial" w:hAnsi="Arial" w:cs="Arial"/>
          <w:b/>
          <w:bCs/>
          <w:lang w:val="es-ES"/>
        </w:rPr>
        <w:t xml:space="preserve">Información de contacto </w:t>
      </w:r>
    </w:p>
    <w:p w14:paraId="5F42BFDD" w14:textId="213A6E7F" w:rsidR="002365DC" w:rsidRPr="002365DC" w:rsidRDefault="002365DC" w:rsidP="002365DC">
      <w:pPr>
        <w:rPr>
          <w:rFonts w:ascii="Arial" w:hAnsi="Arial" w:cs="Arial"/>
          <w:lang w:val="es-ES"/>
        </w:rPr>
      </w:pPr>
      <w:r w:rsidRPr="002365DC">
        <w:rPr>
          <w:rFonts w:ascii="Arial" w:hAnsi="Arial" w:cs="Arial"/>
          <w:lang w:val="es-ES"/>
        </w:rPr>
        <w:t xml:space="preserve">Christine Bogle, </w:t>
      </w:r>
      <w:proofErr w:type="gramStart"/>
      <w:r w:rsidRPr="002365DC">
        <w:rPr>
          <w:rFonts w:ascii="Arial" w:hAnsi="Arial" w:cs="Arial"/>
          <w:lang w:val="es-ES"/>
        </w:rPr>
        <w:t>Secretaria Ejecutiva</w:t>
      </w:r>
      <w:proofErr w:type="gramEnd"/>
      <w:r w:rsidRPr="002365DC">
        <w:rPr>
          <w:rFonts w:ascii="Arial" w:hAnsi="Arial" w:cs="Arial"/>
          <w:lang w:val="es-ES"/>
        </w:rPr>
        <w:t xml:space="preserve"> del ACAP; </w:t>
      </w:r>
      <w:hyperlink r:id="rId7" w:history="1">
        <w:r w:rsidRPr="002365DC">
          <w:rPr>
            <w:rStyle w:val="Hyperlink"/>
            <w:rFonts w:ascii="Arial" w:hAnsi="Arial" w:cs="Arial"/>
            <w:lang w:val="es-ES"/>
          </w:rPr>
          <w:t>christine.bogle@acap.aq</w:t>
        </w:r>
      </w:hyperlink>
    </w:p>
    <w:p w14:paraId="1EC7731B" w14:textId="6788C283" w:rsidR="002365DC" w:rsidRPr="002365DC" w:rsidRDefault="002365DC" w:rsidP="002365DC">
      <w:pPr>
        <w:rPr>
          <w:rFonts w:ascii="Arial" w:hAnsi="Arial" w:cs="Arial"/>
          <w:lang w:val="es-ES"/>
        </w:rPr>
      </w:pPr>
      <w:r w:rsidRPr="002365DC">
        <w:rPr>
          <w:rFonts w:ascii="Arial" w:hAnsi="Arial" w:cs="Arial"/>
          <w:sz w:val="24"/>
          <w:szCs w:val="24"/>
          <w:lang w:val="es-ES"/>
        </w:rPr>
        <w:t>P</w:t>
      </w:r>
      <w:r w:rsidRPr="002365DC">
        <w:rPr>
          <w:rFonts w:ascii="Arial" w:hAnsi="Arial" w:cs="Arial"/>
          <w:lang w:val="es-ES"/>
        </w:rPr>
        <w:t xml:space="preserve">atricia Serafini, </w:t>
      </w:r>
      <w:proofErr w:type="spellStart"/>
      <w:r w:rsidRPr="002365DC">
        <w:rPr>
          <w:rFonts w:ascii="Arial" w:hAnsi="Arial" w:cs="Arial"/>
          <w:lang w:val="es-ES"/>
        </w:rPr>
        <w:t>co-coordinadora</w:t>
      </w:r>
      <w:proofErr w:type="spellEnd"/>
      <w:r w:rsidRPr="002365DC">
        <w:rPr>
          <w:rFonts w:ascii="Arial" w:hAnsi="Arial" w:cs="Arial"/>
          <w:lang w:val="es-ES"/>
        </w:rPr>
        <w:t xml:space="preserve"> del Grupo de Trabajo sobre Poblaciones y Estado de Conservación del ACAP</w:t>
      </w:r>
      <w:r>
        <w:rPr>
          <w:rFonts w:ascii="Arial" w:hAnsi="Arial" w:cs="Arial"/>
          <w:lang w:val="es-ES"/>
        </w:rPr>
        <w:t xml:space="preserve">, y </w:t>
      </w:r>
      <w:r w:rsidRPr="002365DC">
        <w:rPr>
          <w:rFonts w:ascii="Arial" w:hAnsi="Arial" w:cs="Arial"/>
          <w:lang w:val="es-ES"/>
        </w:rPr>
        <w:t xml:space="preserve">coordinadora </w:t>
      </w:r>
      <w:r>
        <w:rPr>
          <w:rFonts w:ascii="Arial" w:hAnsi="Arial" w:cs="Arial"/>
          <w:lang w:val="es-ES"/>
        </w:rPr>
        <w:t xml:space="preserve">del </w:t>
      </w:r>
      <w:r w:rsidRPr="002365DC">
        <w:rPr>
          <w:rFonts w:ascii="Arial" w:hAnsi="Arial" w:cs="Arial"/>
          <w:lang w:val="es-ES"/>
        </w:rPr>
        <w:t xml:space="preserve">Grupo </w:t>
      </w:r>
      <w:proofErr w:type="spellStart"/>
      <w:r w:rsidRPr="002365DC">
        <w:rPr>
          <w:rFonts w:ascii="Arial" w:hAnsi="Arial" w:cs="Arial"/>
          <w:lang w:val="es-ES"/>
        </w:rPr>
        <w:t>Intersesional</w:t>
      </w:r>
      <w:proofErr w:type="spellEnd"/>
      <w:r w:rsidRPr="002365DC">
        <w:rPr>
          <w:rFonts w:ascii="Arial" w:hAnsi="Arial" w:cs="Arial"/>
          <w:lang w:val="es-ES"/>
        </w:rPr>
        <w:t xml:space="preserve"> del ACAP sobre Influenza Aviar y Enfermedades, en nombre de la Secretaría del ACAP</w:t>
      </w:r>
      <w:r w:rsidR="00ED7F6D">
        <w:rPr>
          <w:rFonts w:ascii="Arial" w:hAnsi="Arial" w:cs="Arial"/>
          <w:lang w:val="es-ES"/>
        </w:rPr>
        <w:t>;</w:t>
      </w:r>
      <w:r w:rsidRPr="002365DC">
        <w:rPr>
          <w:rFonts w:ascii="Arial" w:hAnsi="Arial" w:cs="Arial"/>
          <w:lang w:val="es-ES"/>
        </w:rPr>
        <w:t xml:space="preserve"> </w:t>
      </w:r>
      <w:hyperlink r:id="rId8" w:history="1">
        <w:r w:rsidRPr="002365DC">
          <w:rPr>
            <w:rStyle w:val="Hyperlink"/>
            <w:rFonts w:ascii="Arial" w:hAnsi="Arial" w:cs="Arial"/>
            <w:lang w:val="es-ES"/>
          </w:rPr>
          <w:t>patricia.serafini@icmbio.gov.br</w:t>
        </w:r>
      </w:hyperlink>
    </w:p>
    <w:p w14:paraId="674E45CA" w14:textId="77777777" w:rsidR="002365DC" w:rsidRPr="002365DC" w:rsidRDefault="002365DC" w:rsidP="005A552E">
      <w:pPr>
        <w:rPr>
          <w:rFonts w:ascii="Arial" w:hAnsi="Arial" w:cs="Arial"/>
          <w:u w:val="single"/>
          <w:lang w:val="es-ES"/>
        </w:rPr>
      </w:pPr>
    </w:p>
    <w:sectPr w:rsidR="002365DC" w:rsidRPr="002365DC" w:rsidSect="002365DC">
      <w:footerReference w:type="first" r:id="rId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BE567" w14:textId="77777777" w:rsidR="002365DC" w:rsidRDefault="002365DC" w:rsidP="002365DC">
      <w:r>
        <w:separator/>
      </w:r>
    </w:p>
  </w:endnote>
  <w:endnote w:type="continuationSeparator" w:id="0">
    <w:p w14:paraId="1B43B2BD" w14:textId="77777777" w:rsidR="002365DC" w:rsidRDefault="002365DC" w:rsidP="002365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01C629" w14:textId="0011FE78" w:rsidR="002365DC" w:rsidRPr="002365DC" w:rsidRDefault="002365DC" w:rsidP="002365DC">
    <w:pPr>
      <w:tabs>
        <w:tab w:val="center" w:pos="4320"/>
        <w:tab w:val="right" w:pos="9072"/>
      </w:tabs>
      <w:rPr>
        <w:rFonts w:ascii="Times New Roman" w:eastAsia="Arial Unicode MS" w:hAnsi="Times New Roman" w:cs="Times New Roman"/>
        <w:color w:val="1F497D"/>
        <w:kern w:val="0"/>
        <w:sz w:val="24"/>
        <w:szCs w:val="24"/>
        <w:lang w:val="en-AU" w:eastAsia="en-AU"/>
        <w14:ligatures w14:val="none"/>
      </w:rPr>
    </w:pPr>
    <w:r w:rsidRPr="006B1A15">
      <w:rPr>
        <w:rFonts w:ascii="Times New Roman" w:eastAsia="Times New Roman" w:hAnsi="Times New Roman" w:cs="Times New Roman"/>
        <w:noProof/>
        <w:kern w:val="0"/>
        <w:sz w:val="24"/>
        <w:szCs w:val="24"/>
        <w:lang w:val="en-AU" w:eastAsia="en-AU"/>
        <w14:ligatures w14:val="none"/>
      </w:rPr>
      <mc:AlternateContent>
        <mc:Choice Requires="wps">
          <w:drawing>
            <wp:anchor distT="0" distB="0" distL="114300" distR="114300" simplePos="0" relativeHeight="251661312" behindDoc="0" locked="0" layoutInCell="1" allowOverlap="1" wp14:anchorId="0E530215" wp14:editId="21839162">
              <wp:simplePos x="0" y="0"/>
              <wp:positionH relativeFrom="column">
                <wp:posOffset>-9525</wp:posOffset>
              </wp:positionH>
              <wp:positionV relativeFrom="paragraph">
                <wp:posOffset>-95885</wp:posOffset>
              </wp:positionV>
              <wp:extent cx="5734050" cy="635"/>
              <wp:effectExtent l="0" t="0" r="19050" b="37465"/>
              <wp:wrapNone/>
              <wp:docPr id="240816428" name="Straight Arrow Connector 2408164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34050" cy="635"/>
                      </a:xfrm>
                      <a:prstGeom prst="straightConnector1">
                        <a:avLst/>
                      </a:prstGeom>
                      <a:noFill/>
                      <a:ln w="9525">
                        <a:solidFill>
                          <a:srgbClr val="17365D"/>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E263C2C" id="_x0000_t32" coordsize="21600,21600" o:spt="32" o:oned="t" path="m,l21600,21600e" filled="f">
              <v:path arrowok="t" fillok="f" o:connecttype="none"/>
              <o:lock v:ext="edit" shapetype="t"/>
            </v:shapetype>
            <v:shape id="Straight Arrow Connector 240816428" o:spid="_x0000_s1026" type="#_x0000_t32" style="position:absolute;margin-left:-.75pt;margin-top:-7.55pt;width:451.5pt;height:.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" strokecolor="#17365d"/>
          </w:pict>
        </mc:Fallback>
      </mc:AlternateContent>
    </w:r>
    <w:r w:rsidRPr="006B1A15">
      <w:rPr>
        <w:rFonts w:ascii="Arial Narrow" w:eastAsia="Times New Roman" w:hAnsi="Arial Narrow" w:cs="Times New Roman"/>
        <w:color w:val="1F497D"/>
        <w:kern w:val="0"/>
        <w:sz w:val="19"/>
        <w:szCs w:val="19"/>
        <w:lang w:val="en-AU" w:eastAsia="en-AU"/>
        <w14:ligatures w14:val="none"/>
      </w:rPr>
      <w:t xml:space="preserve"> ACAP Secretariat, 119 Macquarie St., Hobart, Tasmania 7000, Australia.  </w:t>
    </w:r>
    <w:hyperlink r:id="rId1" w:history="1">
      <w:r w:rsidRPr="006B1A15">
        <w:rPr>
          <w:rFonts w:ascii="Arial Narrow" w:eastAsia="Times New Roman" w:hAnsi="Arial Narrow" w:cs="Times New Roman"/>
          <w:color w:val="0563C1"/>
          <w:kern w:val="0"/>
          <w:sz w:val="19"/>
          <w:szCs w:val="19"/>
          <w:u w:val="single"/>
          <w:lang w:val="en-AU" w:eastAsia="en-AU"/>
          <w14:ligatures w14:val="none"/>
        </w:rPr>
        <w:t>Secretariat@acap.aq</w:t>
      </w:r>
    </w:hyperlink>
    <w:r w:rsidRPr="006B1A15">
      <w:rPr>
        <w:rFonts w:ascii="Arial Narrow" w:eastAsia="Times New Roman" w:hAnsi="Arial Narrow" w:cs="Times New Roman"/>
        <w:color w:val="1F497D"/>
        <w:kern w:val="0"/>
        <w:sz w:val="19"/>
        <w:szCs w:val="19"/>
        <w:lang w:val="en-AU" w:eastAsia="en-AU"/>
        <w14:ligatures w14:val="none"/>
      </w:rPr>
      <w:t xml:space="preserve">   +61 3 6165 6674   www.acap.aq</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5A3FA2" w14:textId="77777777" w:rsidR="002365DC" w:rsidRDefault="002365DC" w:rsidP="002365DC">
      <w:r>
        <w:separator/>
      </w:r>
    </w:p>
  </w:footnote>
  <w:footnote w:type="continuationSeparator" w:id="0">
    <w:p w14:paraId="69AD5396" w14:textId="77777777" w:rsidR="002365DC" w:rsidRDefault="002365DC" w:rsidP="002365D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NotTrackFormatting/>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7D2C"/>
    <w:rsid w:val="000957C5"/>
    <w:rsid w:val="000C3F50"/>
    <w:rsid w:val="00117B52"/>
    <w:rsid w:val="00186318"/>
    <w:rsid w:val="001C71DB"/>
    <w:rsid w:val="001E5B47"/>
    <w:rsid w:val="001E7739"/>
    <w:rsid w:val="001F2630"/>
    <w:rsid w:val="002365DC"/>
    <w:rsid w:val="00244B6B"/>
    <w:rsid w:val="002862E7"/>
    <w:rsid w:val="003E798E"/>
    <w:rsid w:val="00471056"/>
    <w:rsid w:val="004F3FE9"/>
    <w:rsid w:val="00514A85"/>
    <w:rsid w:val="005707D7"/>
    <w:rsid w:val="005A507F"/>
    <w:rsid w:val="005A552E"/>
    <w:rsid w:val="005E643E"/>
    <w:rsid w:val="00616358"/>
    <w:rsid w:val="006573A8"/>
    <w:rsid w:val="00721B97"/>
    <w:rsid w:val="00722107"/>
    <w:rsid w:val="00755B36"/>
    <w:rsid w:val="007901A2"/>
    <w:rsid w:val="007962CC"/>
    <w:rsid w:val="007C3A7C"/>
    <w:rsid w:val="007D5250"/>
    <w:rsid w:val="00885EAA"/>
    <w:rsid w:val="008D7BA1"/>
    <w:rsid w:val="00925288"/>
    <w:rsid w:val="009C4BC7"/>
    <w:rsid w:val="009D0507"/>
    <w:rsid w:val="009D5E97"/>
    <w:rsid w:val="00A60309"/>
    <w:rsid w:val="00A84933"/>
    <w:rsid w:val="00AD1B3D"/>
    <w:rsid w:val="00CF730E"/>
    <w:rsid w:val="00D228EF"/>
    <w:rsid w:val="00D53D91"/>
    <w:rsid w:val="00D819D1"/>
    <w:rsid w:val="00DA6E8D"/>
    <w:rsid w:val="00DB694A"/>
    <w:rsid w:val="00DD363C"/>
    <w:rsid w:val="00E0672D"/>
    <w:rsid w:val="00E67795"/>
    <w:rsid w:val="00E722C7"/>
    <w:rsid w:val="00E740C1"/>
    <w:rsid w:val="00E81FB8"/>
    <w:rsid w:val="00EB5C76"/>
    <w:rsid w:val="00ED16D9"/>
    <w:rsid w:val="00ED7F6D"/>
    <w:rsid w:val="00F077DF"/>
    <w:rsid w:val="00F97DA5"/>
    <w:rsid w:val="00FC7D2C"/>
    <w:rsid w:val="00FD1D48"/>
  </w:rsids>
  <m:mathPr>
    <m:mathFont m:val="Cambria Math"/>
    <m:brkBin m:val="before"/>
    <m:brkBinSub m:val="--"/>
    <m:smallFrac m:val="0"/>
    <m:dispDef/>
    <m:lMargin m:val="0"/>
    <m:rMargin m:val="0"/>
    <m:defJc m:val="centerGroup"/>
    <m:wrapIndent m:val="1440"/>
    <m:intLim m:val="subSup"/>
    <m:naryLim m:val="undOvr"/>
  </m:mathPr>
  <w:themeFontLang w:val="en-Z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43E35"/>
  <w15:chartTrackingRefBased/>
  <w15:docId w15:val="{A931AA58-39F3-45D6-800D-B770217779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Z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
    <w:qFormat/>
    <w:rsid w:val="00FC7D2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C7D2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C7D2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C7D2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C7D2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C7D2C"/>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C7D2C"/>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C7D2C"/>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C7D2C"/>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7D2C"/>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FC7D2C"/>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FC7D2C"/>
    <w:rPr>
      <w:rFonts w:eastAsiaTheme="majorEastAsia"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FC7D2C"/>
    <w:rPr>
      <w:rFonts w:eastAsiaTheme="majorEastAsia"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FC7D2C"/>
    <w:rPr>
      <w:rFonts w:eastAsiaTheme="majorEastAsia" w:cstheme="majorBidi"/>
      <w:color w:val="0F4761" w:themeColor="accent1" w:themeShade="BF"/>
      <w:lang w:val="en-GB"/>
    </w:rPr>
  </w:style>
  <w:style w:type="character" w:customStyle="1" w:styleId="Heading6Char">
    <w:name w:val="Heading 6 Char"/>
    <w:basedOn w:val="DefaultParagraphFont"/>
    <w:link w:val="Heading6"/>
    <w:uiPriority w:val="9"/>
    <w:semiHidden/>
    <w:rsid w:val="00FC7D2C"/>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FC7D2C"/>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FC7D2C"/>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FC7D2C"/>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FC7D2C"/>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C7D2C"/>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FC7D2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C7D2C"/>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FC7D2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FC7D2C"/>
    <w:rPr>
      <w:i/>
      <w:iCs/>
      <w:color w:val="404040" w:themeColor="text1" w:themeTint="BF"/>
      <w:lang w:val="en-GB"/>
    </w:rPr>
  </w:style>
  <w:style w:type="paragraph" w:styleId="ListParagraph">
    <w:name w:val="List Paragraph"/>
    <w:basedOn w:val="Normal"/>
    <w:uiPriority w:val="34"/>
    <w:qFormat/>
    <w:rsid w:val="00FC7D2C"/>
    <w:pPr>
      <w:ind w:left="720"/>
      <w:contextualSpacing/>
    </w:pPr>
  </w:style>
  <w:style w:type="character" w:styleId="IntenseEmphasis">
    <w:name w:val="Intense Emphasis"/>
    <w:basedOn w:val="DefaultParagraphFont"/>
    <w:uiPriority w:val="21"/>
    <w:qFormat/>
    <w:rsid w:val="00FC7D2C"/>
    <w:rPr>
      <w:i/>
      <w:iCs/>
      <w:color w:val="0F4761" w:themeColor="accent1" w:themeShade="BF"/>
    </w:rPr>
  </w:style>
  <w:style w:type="paragraph" w:styleId="IntenseQuote">
    <w:name w:val="Intense Quote"/>
    <w:basedOn w:val="Normal"/>
    <w:next w:val="Normal"/>
    <w:link w:val="IntenseQuoteChar"/>
    <w:uiPriority w:val="30"/>
    <w:qFormat/>
    <w:rsid w:val="00FC7D2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C7D2C"/>
    <w:rPr>
      <w:i/>
      <w:iCs/>
      <w:color w:val="0F4761" w:themeColor="accent1" w:themeShade="BF"/>
      <w:lang w:val="en-GB"/>
    </w:rPr>
  </w:style>
  <w:style w:type="character" w:styleId="IntenseReference">
    <w:name w:val="Intense Reference"/>
    <w:basedOn w:val="DefaultParagraphFont"/>
    <w:uiPriority w:val="32"/>
    <w:qFormat/>
    <w:rsid w:val="00FC7D2C"/>
    <w:rPr>
      <w:b/>
      <w:bCs/>
      <w:smallCaps/>
      <w:color w:val="0F4761" w:themeColor="accent1" w:themeShade="BF"/>
      <w:spacing w:val="5"/>
    </w:rPr>
  </w:style>
  <w:style w:type="character" w:styleId="Hyperlink">
    <w:name w:val="Hyperlink"/>
    <w:basedOn w:val="DefaultParagraphFont"/>
    <w:uiPriority w:val="99"/>
    <w:unhideWhenUsed/>
    <w:rsid w:val="00FC7D2C"/>
    <w:rPr>
      <w:color w:val="467886" w:themeColor="hyperlink"/>
      <w:u w:val="single"/>
    </w:rPr>
  </w:style>
  <w:style w:type="character" w:styleId="UnresolvedMention">
    <w:name w:val="Unresolved Mention"/>
    <w:basedOn w:val="DefaultParagraphFont"/>
    <w:uiPriority w:val="99"/>
    <w:semiHidden/>
    <w:unhideWhenUsed/>
    <w:rsid w:val="00FC7D2C"/>
    <w:rPr>
      <w:color w:val="605E5C"/>
      <w:shd w:val="clear" w:color="auto" w:fill="E1DFDD"/>
    </w:rPr>
  </w:style>
  <w:style w:type="paragraph" w:styleId="Revision">
    <w:name w:val="Revision"/>
    <w:hidden/>
    <w:uiPriority w:val="99"/>
    <w:semiHidden/>
    <w:rsid w:val="00FC7D2C"/>
    <w:rPr>
      <w:lang w:val="en-GB"/>
    </w:rPr>
  </w:style>
  <w:style w:type="character" w:styleId="CommentReference">
    <w:name w:val="annotation reference"/>
    <w:basedOn w:val="DefaultParagraphFont"/>
    <w:uiPriority w:val="99"/>
    <w:semiHidden/>
    <w:unhideWhenUsed/>
    <w:rsid w:val="001F2630"/>
    <w:rPr>
      <w:sz w:val="16"/>
      <w:szCs w:val="16"/>
    </w:rPr>
  </w:style>
  <w:style w:type="paragraph" w:styleId="CommentText">
    <w:name w:val="annotation text"/>
    <w:basedOn w:val="Normal"/>
    <w:link w:val="CommentTextChar"/>
    <w:uiPriority w:val="99"/>
    <w:unhideWhenUsed/>
    <w:rsid w:val="001F2630"/>
    <w:rPr>
      <w:sz w:val="20"/>
      <w:szCs w:val="20"/>
    </w:rPr>
  </w:style>
  <w:style w:type="character" w:customStyle="1" w:styleId="CommentTextChar">
    <w:name w:val="Comment Text Char"/>
    <w:basedOn w:val="DefaultParagraphFont"/>
    <w:link w:val="CommentText"/>
    <w:uiPriority w:val="99"/>
    <w:rsid w:val="001F2630"/>
    <w:rPr>
      <w:sz w:val="20"/>
      <w:szCs w:val="20"/>
      <w:lang w:val="en-GB"/>
    </w:rPr>
  </w:style>
  <w:style w:type="paragraph" w:styleId="CommentSubject">
    <w:name w:val="annotation subject"/>
    <w:basedOn w:val="CommentText"/>
    <w:next w:val="CommentText"/>
    <w:link w:val="CommentSubjectChar"/>
    <w:uiPriority w:val="99"/>
    <w:semiHidden/>
    <w:unhideWhenUsed/>
    <w:rsid w:val="001F2630"/>
    <w:rPr>
      <w:b/>
      <w:bCs/>
    </w:rPr>
  </w:style>
  <w:style w:type="character" w:customStyle="1" w:styleId="CommentSubjectChar">
    <w:name w:val="Comment Subject Char"/>
    <w:basedOn w:val="CommentTextChar"/>
    <w:link w:val="CommentSubject"/>
    <w:uiPriority w:val="99"/>
    <w:semiHidden/>
    <w:rsid w:val="001F2630"/>
    <w:rPr>
      <w:b/>
      <w:bCs/>
      <w:sz w:val="20"/>
      <w:szCs w:val="20"/>
      <w:lang w:val="en-GB"/>
    </w:rPr>
  </w:style>
  <w:style w:type="paragraph" w:styleId="Header">
    <w:name w:val="header"/>
    <w:basedOn w:val="Normal"/>
    <w:link w:val="HeaderChar"/>
    <w:uiPriority w:val="99"/>
    <w:unhideWhenUsed/>
    <w:rsid w:val="002365DC"/>
    <w:pPr>
      <w:tabs>
        <w:tab w:val="center" w:pos="4513"/>
        <w:tab w:val="right" w:pos="9026"/>
      </w:tabs>
    </w:pPr>
  </w:style>
  <w:style w:type="character" w:customStyle="1" w:styleId="HeaderChar">
    <w:name w:val="Header Char"/>
    <w:basedOn w:val="DefaultParagraphFont"/>
    <w:link w:val="Header"/>
    <w:uiPriority w:val="99"/>
    <w:rsid w:val="002365DC"/>
    <w:rPr>
      <w:lang w:val="en-GB"/>
    </w:rPr>
  </w:style>
  <w:style w:type="paragraph" w:styleId="Footer">
    <w:name w:val="footer"/>
    <w:basedOn w:val="Normal"/>
    <w:link w:val="FooterChar"/>
    <w:uiPriority w:val="99"/>
    <w:unhideWhenUsed/>
    <w:rsid w:val="002365DC"/>
    <w:pPr>
      <w:tabs>
        <w:tab w:val="center" w:pos="4513"/>
        <w:tab w:val="right" w:pos="9026"/>
      </w:tabs>
    </w:pPr>
  </w:style>
  <w:style w:type="character" w:customStyle="1" w:styleId="FooterChar">
    <w:name w:val="Footer Char"/>
    <w:basedOn w:val="DefaultParagraphFont"/>
    <w:link w:val="Footer"/>
    <w:uiPriority w:val="99"/>
    <w:rsid w:val="002365DC"/>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2111961">
      <w:bodyDiv w:val="1"/>
      <w:marLeft w:val="0"/>
      <w:marRight w:val="0"/>
      <w:marTop w:val="0"/>
      <w:marBottom w:val="0"/>
      <w:divBdr>
        <w:top w:val="none" w:sz="0" w:space="0" w:color="auto"/>
        <w:left w:val="none" w:sz="0" w:space="0" w:color="auto"/>
        <w:bottom w:val="none" w:sz="0" w:space="0" w:color="auto"/>
        <w:right w:val="none" w:sz="0" w:space="0" w:color="auto"/>
      </w:divBdr>
    </w:div>
    <w:div w:id="1216429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atricia.serafini@icmbio.gov.br" TargetMode="External"/><Relationship Id="rId3" Type="http://schemas.openxmlformats.org/officeDocument/2006/relationships/webSettings" Target="webSettings.xml"/><Relationship Id="rId7" Type="http://schemas.openxmlformats.org/officeDocument/2006/relationships/hyperlink" Target="mailto:christine.bogle@acap.aq"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Secretariat@acap.a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3</Pages>
  <Words>1128</Words>
  <Characters>6232</Characters>
  <Application>Microsoft Office Word</Application>
  <DocSecurity>0</DocSecurity>
  <Lines>116</Lines>
  <Paragraphs>21</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7348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cooper</dc:creator>
  <cp:keywords/>
  <dc:description/>
  <cp:lastModifiedBy>WM</cp:lastModifiedBy>
  <cp:revision>4</cp:revision>
  <dcterms:created xsi:type="dcterms:W3CDTF">2025-06-16T08:31:00Z</dcterms:created>
  <dcterms:modified xsi:type="dcterms:W3CDTF">2025-06-16T08:54:00Z</dcterms:modified>
</cp:coreProperties>
</file>